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C18" w:rsidRPr="00413C18" w:rsidRDefault="00413C18" w:rsidP="00413C18">
      <w:pPr>
        <w:ind w:firstLine="567"/>
        <w:jc w:val="center"/>
        <w:rPr>
          <w:rFonts w:ascii="Times New Roman" w:hAnsi="Times New Roman" w:cs="Times New Roman"/>
          <w:sz w:val="24"/>
          <w:szCs w:val="24"/>
          <w:lang w:val="en-US"/>
        </w:rPr>
      </w:pPr>
      <w:r w:rsidRPr="00413C18">
        <w:rPr>
          <w:rFonts w:ascii="Times New Roman" w:hAnsi="Times New Roman" w:cs="Times New Roman"/>
          <w:sz w:val="24"/>
          <w:szCs w:val="24"/>
          <w:lang w:val="en-US"/>
        </w:rPr>
        <w:t>TYPES OF ESP</w:t>
      </w:r>
    </w:p>
    <w:p w:rsidR="00413C18" w:rsidRDefault="00413C18" w:rsidP="00413C18">
      <w:pPr>
        <w:ind w:firstLine="567"/>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 xml:space="preserve">ESP is traditionally been divided into two main areas according to when they take place: 1) </w:t>
      </w:r>
      <w:r w:rsidRPr="00413C18">
        <w:rPr>
          <w:rFonts w:ascii="Times New Roman" w:hAnsi="Times New Roman" w:cs="Times New Roman"/>
          <w:b/>
          <w:sz w:val="24"/>
          <w:szCs w:val="24"/>
          <w:lang w:val="en-US"/>
        </w:rPr>
        <w:t>English for Academic Purposes</w:t>
      </w:r>
      <w:r w:rsidRPr="00413C18">
        <w:rPr>
          <w:rFonts w:ascii="Times New Roman" w:hAnsi="Times New Roman" w:cs="Times New Roman"/>
          <w:sz w:val="24"/>
          <w:szCs w:val="24"/>
          <w:lang w:val="en-US"/>
        </w:rPr>
        <w:t xml:space="preserve"> (EAP) involving pre-experience, simultaneous/</w:t>
      </w:r>
      <w:proofErr w:type="spellStart"/>
      <w:r w:rsidRPr="00413C18">
        <w:rPr>
          <w:rFonts w:ascii="Times New Roman" w:hAnsi="Times New Roman" w:cs="Times New Roman"/>
          <w:sz w:val="24"/>
          <w:szCs w:val="24"/>
          <w:lang w:val="en-US"/>
        </w:rPr>
        <w:t>inservice</w:t>
      </w:r>
      <w:proofErr w:type="spellEnd"/>
      <w:r w:rsidRPr="00413C18">
        <w:rPr>
          <w:rFonts w:ascii="Times New Roman" w:hAnsi="Times New Roman" w:cs="Times New Roman"/>
          <w:sz w:val="24"/>
          <w:szCs w:val="24"/>
          <w:lang w:val="en-US"/>
        </w:rPr>
        <w:t xml:space="preserve"> and post-experience courses, and 2) </w:t>
      </w:r>
      <w:r w:rsidRPr="00413C18">
        <w:rPr>
          <w:rFonts w:ascii="Times New Roman" w:hAnsi="Times New Roman" w:cs="Times New Roman"/>
          <w:b/>
          <w:sz w:val="24"/>
          <w:szCs w:val="24"/>
          <w:lang w:val="en-US"/>
        </w:rPr>
        <w:t>English for Occupational Purposes</w:t>
      </w:r>
      <w:r w:rsidRPr="00413C18">
        <w:rPr>
          <w:rFonts w:ascii="Times New Roman" w:hAnsi="Times New Roman" w:cs="Times New Roman"/>
          <w:sz w:val="24"/>
          <w:szCs w:val="24"/>
          <w:lang w:val="en-US"/>
        </w:rPr>
        <w:t xml:space="preserve"> (EOP) for study in a specific discipline (</w:t>
      </w:r>
      <w:r w:rsidRPr="00413C18">
        <w:rPr>
          <w:rFonts w:ascii="Times New Roman" w:hAnsi="Times New Roman" w:cs="Times New Roman"/>
          <w:b/>
          <w:sz w:val="24"/>
          <w:szCs w:val="24"/>
          <w:lang w:val="en-US"/>
        </w:rPr>
        <w:t xml:space="preserve">pre-study, in-study, </w:t>
      </w:r>
      <w:r w:rsidRPr="00413C18">
        <w:rPr>
          <w:rFonts w:ascii="Times New Roman" w:hAnsi="Times New Roman" w:cs="Times New Roman"/>
          <w:sz w:val="24"/>
          <w:szCs w:val="24"/>
          <w:lang w:val="en-US"/>
        </w:rPr>
        <w:t>and</w:t>
      </w:r>
      <w:r w:rsidRPr="00413C18">
        <w:rPr>
          <w:rFonts w:ascii="Times New Roman" w:hAnsi="Times New Roman" w:cs="Times New Roman"/>
          <w:b/>
          <w:sz w:val="24"/>
          <w:szCs w:val="24"/>
          <w:lang w:val="en-US"/>
        </w:rPr>
        <w:t xml:space="preserve"> post-study</w:t>
      </w:r>
      <w:r w:rsidRPr="00413C18">
        <w:rPr>
          <w:rFonts w:ascii="Times New Roman" w:hAnsi="Times New Roman" w:cs="Times New Roman"/>
          <w:sz w:val="24"/>
          <w:szCs w:val="24"/>
          <w:lang w:val="en-US"/>
        </w:rPr>
        <w:t>) or as a school subject (</w:t>
      </w:r>
      <w:r w:rsidRPr="00413C18">
        <w:rPr>
          <w:rFonts w:ascii="Times New Roman" w:hAnsi="Times New Roman" w:cs="Times New Roman"/>
          <w:b/>
          <w:sz w:val="24"/>
          <w:szCs w:val="24"/>
          <w:lang w:val="en-US"/>
        </w:rPr>
        <w:t>independent</w:t>
      </w:r>
      <w:r w:rsidRPr="00413C18">
        <w:rPr>
          <w:rFonts w:ascii="Times New Roman" w:hAnsi="Times New Roman" w:cs="Times New Roman"/>
          <w:sz w:val="24"/>
          <w:szCs w:val="24"/>
          <w:lang w:val="en-US"/>
        </w:rPr>
        <w:t xml:space="preserve"> or </w:t>
      </w:r>
      <w:r w:rsidRPr="00413C18">
        <w:rPr>
          <w:rFonts w:ascii="Times New Roman" w:hAnsi="Times New Roman" w:cs="Times New Roman"/>
          <w:b/>
          <w:sz w:val="24"/>
          <w:szCs w:val="24"/>
          <w:lang w:val="en-US"/>
        </w:rPr>
        <w:t>integrated</w:t>
      </w:r>
      <w:r w:rsidRPr="00413C18">
        <w:rPr>
          <w:rFonts w:ascii="Times New Roman" w:hAnsi="Times New Roman" w:cs="Times New Roman"/>
          <w:sz w:val="24"/>
          <w:szCs w:val="24"/>
          <w:lang w:val="en-US"/>
        </w:rPr>
        <w:t xml:space="preserve">). Pre-experience or pre-study course will omit any specific work related to the actual discipline or work as students will not yet have the needed familiarity with the content; the opportunity for specific or integrated work will be provided during </w:t>
      </w:r>
      <w:proofErr w:type="spellStart"/>
      <w:r w:rsidRPr="00413C18">
        <w:rPr>
          <w:rFonts w:ascii="Times New Roman" w:hAnsi="Times New Roman" w:cs="Times New Roman"/>
          <w:sz w:val="24"/>
          <w:szCs w:val="24"/>
          <w:lang w:val="en-US"/>
        </w:rPr>
        <w:t>inservice</w:t>
      </w:r>
      <w:proofErr w:type="spellEnd"/>
      <w:r w:rsidRPr="00413C18">
        <w:rPr>
          <w:rFonts w:ascii="Times New Roman" w:hAnsi="Times New Roman" w:cs="Times New Roman"/>
          <w:sz w:val="24"/>
          <w:szCs w:val="24"/>
          <w:lang w:val="en-US"/>
        </w:rPr>
        <w:t xml:space="preserve"> or in-study courses.</w:t>
      </w:r>
    </w:p>
    <w:p w:rsidR="00413C18" w:rsidRDefault="00413C18" w:rsidP="00413C18">
      <w:pPr>
        <w:ind w:firstLine="567"/>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 xml:space="preserve">Another division of ESP divides EAP and EOP according to discipline or professional area in the following way: 1) EAP involves English for (Academic) Science and Technology (EST), English for (Academic) Medical Purposes (EMP), English for (Academic) Legal Purposes (ELP), and English for Management, Finance and Economics; 2) EOP includes English for Professional Purposes (English for Medical Purposes, English for Business Purposes – EBP) and English for Vocational Purposes (Pre-vocational English and Vocational English); in EAP, EST has been the main area, but EMP and ELP have always had their place. Recently the academic study of business, finance, banking, economics has become increasingly important especially Masters in Business Administration (MBA) courses; and 2) EOP refers to English for professional purposes in administration, medicine, law and business, and vocational purposes for non-professionals in work (language of training for specific trades or occupations) or pre-work situations (concerned with finding a job and interview skills). </w:t>
      </w:r>
    </w:p>
    <w:p w:rsidR="00413C18" w:rsidRDefault="00413C18" w:rsidP="00413C18">
      <w:pPr>
        <w:ind w:firstLine="567"/>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 xml:space="preserve">The classification of ESP courses creates numerous problems by failing to capture fluid nature of the various types of ESP teaching and the degree of overlap between “common-core” EAP and EBP and General English - e.g. Business English can be seen as mediating language between the technicalities of particular business and the language of the general public (Picket, 1989), which puts it in a position between English for General Purposes (EGP) and specialist English. Therefore, some authors suggest (Dudley-Evans and St John, 1998) the presentation of the whole of ELT should be on a continuum that runs from General English courses to very specific ESP courses as illustrated in Table 1. </w:t>
      </w:r>
    </w:p>
    <w:p w:rsidR="00413C18" w:rsidRPr="00413C18" w:rsidRDefault="00413C18" w:rsidP="00413C18">
      <w:pPr>
        <w:ind w:firstLine="567"/>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 xml:space="preserve">Regarding positions 2 and 3, it is only the overall context of the program that decides whether a particular course is classified as ESP or not. At position 4, the work is specified in terms of the skills (it is important to choose appropriate skills to focus on - e.g., some doctors will need to read some medical journal, others will need oral skills to talk with their patients) taught, but the groups are not homogenous from one discipline or profession (scientists, engineers, lawyers, doctors), so the individual members can need texts dealing with their specific profession. Teaching materials prepared need contexts acceptable and understandable to all branches. At position 5 the course becomes really specific – the key feature of such courses is that teaching is flexible and tailored to individual or group needs. </w:t>
      </w:r>
    </w:p>
    <w:p w:rsidR="00413C18" w:rsidRDefault="00413C18" w:rsidP="00413C18">
      <w:pPr>
        <w:ind w:firstLine="567"/>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 xml:space="preserve"> Tab.1 Continuum of ELT course types General Specific </w:t>
      </w:r>
    </w:p>
    <w:p w:rsidR="00413C18" w:rsidRP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General</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413C18">
        <w:rPr>
          <w:rFonts w:ascii="Times New Roman" w:hAnsi="Times New Roman" w:cs="Times New Roman"/>
          <w:sz w:val="24"/>
          <w:szCs w:val="24"/>
          <w:lang w:val="en-US"/>
        </w:rPr>
        <w:t>Specific</w:t>
      </w:r>
    </w:p>
    <w:tbl>
      <w:tblPr>
        <w:tblStyle w:val="a3"/>
        <w:tblW w:w="0" w:type="auto"/>
        <w:tblLook w:val="04A0"/>
      </w:tblPr>
      <w:tblGrid>
        <w:gridCol w:w="1914"/>
        <w:gridCol w:w="1914"/>
        <w:gridCol w:w="1914"/>
        <w:gridCol w:w="1914"/>
        <w:gridCol w:w="1915"/>
      </w:tblGrid>
      <w:tr w:rsidR="00413C18" w:rsidTr="00413C18">
        <w:tc>
          <w:tcPr>
            <w:tcW w:w="1914" w:type="dxa"/>
          </w:tcPr>
          <w:p w:rsid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Position 1</w:t>
            </w:r>
          </w:p>
        </w:tc>
        <w:tc>
          <w:tcPr>
            <w:tcW w:w="1914" w:type="dxa"/>
          </w:tcPr>
          <w:p w:rsid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Position 2</w:t>
            </w:r>
          </w:p>
        </w:tc>
        <w:tc>
          <w:tcPr>
            <w:tcW w:w="1914" w:type="dxa"/>
          </w:tcPr>
          <w:p w:rsid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Position 3</w:t>
            </w:r>
          </w:p>
        </w:tc>
        <w:tc>
          <w:tcPr>
            <w:tcW w:w="1914" w:type="dxa"/>
          </w:tcPr>
          <w:p w:rsid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Position 4</w:t>
            </w:r>
          </w:p>
        </w:tc>
        <w:tc>
          <w:tcPr>
            <w:tcW w:w="1915" w:type="dxa"/>
          </w:tcPr>
          <w:p w:rsid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Position5</w:t>
            </w:r>
          </w:p>
        </w:tc>
      </w:tr>
      <w:tr w:rsidR="00413C18" w:rsidTr="00413C18">
        <w:tc>
          <w:tcPr>
            <w:tcW w:w="1914" w:type="dxa"/>
          </w:tcPr>
          <w:p w:rsidR="00413C18" w:rsidRP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t xml:space="preserve">English for </w:t>
            </w:r>
            <w:r w:rsidRPr="00413C18">
              <w:rPr>
                <w:rFonts w:ascii="Times New Roman" w:hAnsi="Times New Roman" w:cs="Times New Roman"/>
                <w:sz w:val="24"/>
                <w:szCs w:val="24"/>
                <w:lang w:val="en-US"/>
              </w:rPr>
              <w:lastRenderedPageBreak/>
              <w:t xml:space="preserve">Beginners </w:t>
            </w:r>
          </w:p>
          <w:p w:rsidR="00413C18" w:rsidRDefault="00413C18" w:rsidP="00413C18">
            <w:pPr>
              <w:jc w:val="both"/>
              <w:rPr>
                <w:rFonts w:ascii="Times New Roman" w:hAnsi="Times New Roman" w:cs="Times New Roman"/>
                <w:sz w:val="24"/>
                <w:szCs w:val="24"/>
                <w:lang w:val="en-US"/>
              </w:rPr>
            </w:pPr>
          </w:p>
        </w:tc>
        <w:tc>
          <w:tcPr>
            <w:tcW w:w="1914" w:type="dxa"/>
          </w:tcPr>
          <w:p w:rsidR="00413C18" w:rsidRP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lastRenderedPageBreak/>
              <w:t xml:space="preserve">Intermediate to </w:t>
            </w:r>
            <w:r w:rsidRPr="00413C18">
              <w:rPr>
                <w:rFonts w:ascii="Times New Roman" w:hAnsi="Times New Roman" w:cs="Times New Roman"/>
                <w:sz w:val="24"/>
                <w:szCs w:val="24"/>
                <w:lang w:val="en-US"/>
              </w:rPr>
              <w:lastRenderedPageBreak/>
              <w:t xml:space="preserve">advance EGP curses with a focus on a particular skills </w:t>
            </w:r>
          </w:p>
          <w:p w:rsidR="00413C18" w:rsidRDefault="00413C18" w:rsidP="00413C18">
            <w:pPr>
              <w:jc w:val="both"/>
              <w:rPr>
                <w:rFonts w:ascii="Times New Roman" w:hAnsi="Times New Roman" w:cs="Times New Roman"/>
                <w:sz w:val="24"/>
                <w:szCs w:val="24"/>
                <w:lang w:val="en-US"/>
              </w:rPr>
            </w:pPr>
          </w:p>
        </w:tc>
        <w:tc>
          <w:tcPr>
            <w:tcW w:w="1914" w:type="dxa"/>
          </w:tcPr>
          <w:p w:rsidR="00413C18" w:rsidRP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lastRenderedPageBreak/>
              <w:t xml:space="preserve">EGAP/EGBP </w:t>
            </w:r>
            <w:r w:rsidRPr="00413C18">
              <w:rPr>
                <w:rFonts w:ascii="Times New Roman" w:hAnsi="Times New Roman" w:cs="Times New Roman"/>
                <w:sz w:val="24"/>
                <w:szCs w:val="24"/>
                <w:lang w:val="en-US"/>
              </w:rPr>
              <w:lastRenderedPageBreak/>
              <w:t xml:space="preserve">courses based on </w:t>
            </w:r>
            <w:proofErr w:type="spellStart"/>
            <w:r w:rsidRPr="00413C18">
              <w:rPr>
                <w:rFonts w:ascii="Times New Roman" w:hAnsi="Times New Roman" w:cs="Times New Roman"/>
                <w:sz w:val="24"/>
                <w:szCs w:val="24"/>
                <w:lang w:val="en-US"/>
              </w:rPr>
              <w:t>commoncore</w:t>
            </w:r>
            <w:proofErr w:type="spellEnd"/>
            <w:r w:rsidRPr="00413C18">
              <w:rPr>
                <w:rFonts w:ascii="Times New Roman" w:hAnsi="Times New Roman" w:cs="Times New Roman"/>
                <w:sz w:val="24"/>
                <w:szCs w:val="24"/>
                <w:lang w:val="en-US"/>
              </w:rPr>
              <w:t xml:space="preserve"> language and skills not related to specific discipline or profession </w:t>
            </w:r>
          </w:p>
          <w:p w:rsidR="00413C18" w:rsidRDefault="00413C18" w:rsidP="00413C18">
            <w:pPr>
              <w:jc w:val="both"/>
              <w:rPr>
                <w:rFonts w:ascii="Times New Roman" w:hAnsi="Times New Roman" w:cs="Times New Roman"/>
                <w:sz w:val="24"/>
                <w:szCs w:val="24"/>
                <w:lang w:val="en-US"/>
              </w:rPr>
            </w:pPr>
          </w:p>
        </w:tc>
        <w:tc>
          <w:tcPr>
            <w:tcW w:w="1914" w:type="dxa"/>
          </w:tcPr>
          <w:p w:rsidR="00413C18" w:rsidRP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lastRenderedPageBreak/>
              <w:t xml:space="preserve">Courses for </w:t>
            </w:r>
            <w:r w:rsidRPr="00413C18">
              <w:rPr>
                <w:rFonts w:ascii="Times New Roman" w:hAnsi="Times New Roman" w:cs="Times New Roman"/>
                <w:sz w:val="24"/>
                <w:szCs w:val="24"/>
                <w:lang w:val="en-US"/>
              </w:rPr>
              <w:lastRenderedPageBreak/>
              <w:t>broad disciplinary or professional areas (e.g. Report writing for Scientists and Engineers, Medical English, Legal English, Negotiating skills for Business English)</w:t>
            </w:r>
          </w:p>
          <w:p w:rsidR="00413C18" w:rsidRDefault="00413C18" w:rsidP="00413C18">
            <w:pPr>
              <w:jc w:val="both"/>
              <w:rPr>
                <w:rFonts w:ascii="Times New Roman" w:hAnsi="Times New Roman" w:cs="Times New Roman"/>
                <w:sz w:val="24"/>
                <w:szCs w:val="24"/>
                <w:lang w:val="en-US"/>
              </w:rPr>
            </w:pPr>
          </w:p>
        </w:tc>
        <w:tc>
          <w:tcPr>
            <w:tcW w:w="1915" w:type="dxa"/>
          </w:tcPr>
          <w:p w:rsidR="00413C18" w:rsidRDefault="00413C18" w:rsidP="00413C18">
            <w:pPr>
              <w:jc w:val="both"/>
              <w:rPr>
                <w:rFonts w:ascii="Times New Roman" w:hAnsi="Times New Roman" w:cs="Times New Roman"/>
                <w:sz w:val="24"/>
                <w:szCs w:val="24"/>
                <w:lang w:val="en-US"/>
              </w:rPr>
            </w:pPr>
            <w:r w:rsidRPr="00413C18">
              <w:rPr>
                <w:rFonts w:ascii="Times New Roman" w:hAnsi="Times New Roman" w:cs="Times New Roman"/>
                <w:sz w:val="24"/>
                <w:szCs w:val="24"/>
                <w:lang w:val="en-US"/>
              </w:rPr>
              <w:lastRenderedPageBreak/>
              <w:t xml:space="preserve">1) An academic </w:t>
            </w:r>
            <w:r w:rsidRPr="00413C18">
              <w:rPr>
                <w:rFonts w:ascii="Times New Roman" w:hAnsi="Times New Roman" w:cs="Times New Roman"/>
                <w:sz w:val="24"/>
                <w:szCs w:val="24"/>
                <w:lang w:val="en-US"/>
              </w:rPr>
              <w:lastRenderedPageBreak/>
              <w:t>support course related to a particular academic course. 2) One-to-one work with business people</w:t>
            </w:r>
          </w:p>
        </w:tc>
      </w:tr>
    </w:tbl>
    <w:p w:rsidR="00413C18" w:rsidRPr="00413C18" w:rsidRDefault="00413C18" w:rsidP="00413C18">
      <w:pPr>
        <w:ind w:firstLine="567"/>
        <w:jc w:val="both"/>
        <w:rPr>
          <w:rFonts w:ascii="Times New Roman" w:hAnsi="Times New Roman" w:cs="Times New Roman"/>
          <w:sz w:val="24"/>
          <w:szCs w:val="24"/>
          <w:lang w:val="en-US"/>
        </w:rPr>
      </w:pPr>
    </w:p>
    <w:sectPr w:rsidR="00413C18" w:rsidRPr="00413C18"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413C18"/>
    <w:rsid w:val="00060933"/>
    <w:rsid w:val="002578A8"/>
    <w:rsid w:val="002645BC"/>
    <w:rsid w:val="00413C18"/>
    <w:rsid w:val="006717A5"/>
    <w:rsid w:val="00AC1E02"/>
    <w:rsid w:val="00B12E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3C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579</Words>
  <Characters>3306</Characters>
  <Application>Microsoft Office Word</Application>
  <DocSecurity>0</DocSecurity>
  <Lines>27</Lines>
  <Paragraphs>7</Paragraphs>
  <ScaleCrop>false</ScaleCrop>
  <Company/>
  <LinksUpToDate>false</LinksUpToDate>
  <CharactersWithSpaces>3878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2020-02-03T07:11:00Z</dcterms:created>
  <dcterms:modified xsi:type="dcterms:W3CDTF">2020-02-03T07:18:00Z</dcterms:modified>
</cp:coreProperties>
</file>